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8A" w:rsidRDefault="00E2178A" w:rsidP="00E2178A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sz w:val="28"/>
          <w:szCs w:val="28"/>
          <w:lang w:eastAsia="it-IT"/>
        </w:rPr>
        <w:t>Interventi degli Internauti su giusta denominazione chiesa cittadina</w:t>
      </w:r>
    </w:p>
    <w:p w:rsidR="00E2178A" w:rsidRDefault="00E2178A" w:rsidP="00E217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it-IT"/>
        </w:rPr>
      </w:pPr>
    </w:p>
    <w:p w:rsidR="00E2178A" w:rsidRDefault="00E2178A" w:rsidP="00E2178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E2178A" w:rsidRDefault="00E2178A" w:rsidP="00E217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it-IT"/>
        </w:rPr>
      </w:pPr>
      <w:r>
        <w:rPr>
          <w:rFonts w:eastAsia="Times New Roman" w:cstheme="minorHAnsi"/>
          <w:b/>
          <w:sz w:val="18"/>
          <w:szCs w:val="18"/>
          <w:lang w:eastAsia="it-IT"/>
        </w:rPr>
        <w:t>(17 maggio 2016)</w:t>
      </w:r>
    </w:p>
    <w:p w:rsidR="004D0B78" w:rsidRDefault="004D0B78" w:rsidP="00E217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it-IT"/>
        </w:rPr>
      </w:pPr>
    </w:p>
    <w:p w:rsidR="00E2178A" w:rsidRDefault="00E2178A" w:rsidP="00E2178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Questa carta del 1748 sembra avvalorare la tesi di Scudero. La chiesa indicata con il 17 è intitolata M. SS. di Loreto.</w:t>
      </w:r>
    </w:p>
    <w:p w:rsidR="00E2178A" w:rsidRDefault="00E2178A" w:rsidP="00E2178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ciao</w:t>
      </w:r>
    </w:p>
    <w:p w:rsidR="00E2178A" w:rsidRDefault="00E2178A" w:rsidP="00E2178A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Circella Aldo</w:t>
      </w:r>
    </w:p>
    <w:p w:rsidR="00E2178A" w:rsidRDefault="00E2178A" w:rsidP="00E2178A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:rsidR="00EE01D3" w:rsidRDefault="00E2178A">
      <w:pPr>
        <w:pBdr>
          <w:bottom w:val="single" w:sz="12" w:space="1" w:color="auto"/>
        </w:pBdr>
      </w:pPr>
      <w:r>
        <w:rPr>
          <w:noProof/>
          <w:lang w:eastAsia="it-IT"/>
        </w:rPr>
        <w:drawing>
          <wp:inline distT="0" distB="0" distL="0" distR="0">
            <wp:extent cx="6867525" cy="4362450"/>
            <wp:effectExtent l="19050" t="0" r="9525" b="0"/>
            <wp:docPr id="1" name="Immagine 0" descr="1Torre-Maggiore-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Torre-Maggiore-174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3893" cy="43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78A" w:rsidRDefault="00E2178A">
      <w:pPr>
        <w:pBdr>
          <w:bottom w:val="single" w:sz="12" w:space="1" w:color="auto"/>
        </w:pBdr>
      </w:pPr>
    </w:p>
    <w:p w:rsidR="00E2178A" w:rsidRDefault="00E2178A" w:rsidP="00E2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D0B78" w:rsidRDefault="004D0B78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(17 maggio 2016)</w:t>
      </w:r>
    </w:p>
    <w:p w:rsidR="004D0B78" w:rsidRPr="004D0B78" w:rsidRDefault="004D0B78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ai ragione, la questione non è di poco conto e, del resto è anche ricorrente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che vi sia una sovrapposizione tra le due denominazioni (</w:t>
      </w:r>
      <w:hyperlink r:id="rId6" w:history="1">
        <w:r w:rsidRPr="00E21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http://www.nojainpuglia.it/chiese_extra_moenia/32_loreto.htm</w:t>
        </w:r>
      </w:hyperlink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.)</w:t>
      </w: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 Secondo me possono tranquillamente convivere. Ma è corretto chiamarla "Chiesa del Rito" , l'icona del resto è quella che giustifica la fondazione della chiesa, fa riferimento al rito greco-ortodosso...ergo, trai tu le conseguenze. </w:t>
      </w: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tradizione della Madonna nera del Loreto ben si aggancia </w:t>
      </w:r>
      <w:r w:rsidR="004D0B78">
        <w:rPr>
          <w:rFonts w:ascii="Times New Roman" w:eastAsia="Times New Roman" w:hAnsi="Times New Roman" w:cs="Times New Roman"/>
          <w:sz w:val="24"/>
          <w:szCs w:val="24"/>
          <w:lang w:eastAsia="it-IT"/>
        </w:rPr>
        <w:t>e si integra nell'incontro della</w:t>
      </w: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cristiana con la tradizione di matrice bizantina. Anche se Don Amedeo, nel suo "Storia di Torremaggiore" a pag. 76 parla della fondazione della Chiesa da parte degli albane</w:t>
      </w:r>
      <w:r w:rsidR="0033115E">
        <w:rPr>
          <w:rFonts w:ascii="Times New Roman" w:eastAsia="Times New Roman" w:hAnsi="Times New Roman" w:cs="Times New Roman"/>
          <w:sz w:val="24"/>
          <w:szCs w:val="24"/>
          <w:lang w:eastAsia="it-IT"/>
        </w:rPr>
        <w:t>si in onore della Madonna  del L</w:t>
      </w: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oreto</w:t>
      </w: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178A" w:rsidRPr="00E2178A" w:rsidRDefault="0033115E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W</w:t>
      </w:r>
      <w:r w:rsidR="00E2178A"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ikipedia:</w:t>
      </w: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"Anche a </w:t>
      </w:r>
      <w:hyperlink r:id="rId7" w:tooltip="Torremaggiore" w:history="1">
        <w:r w:rsidRPr="00E2178A">
          <w:rPr>
            <w:rFonts w:ascii="Arial" w:eastAsia="Times New Roman" w:hAnsi="Arial" w:cs="Arial"/>
            <w:color w:val="0B0080"/>
            <w:sz w:val="15"/>
            <w:lang w:eastAsia="it-IT"/>
          </w:rPr>
          <w:t>Torremaggiore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 una cittadina dell'</w:t>
      </w:r>
      <w:hyperlink r:id="rId8" w:tooltip="Alto Tavoliere (la pagina non esiste)" w:history="1">
        <w:r w:rsidRPr="00E2178A">
          <w:rPr>
            <w:rFonts w:ascii="Arial" w:eastAsia="Times New Roman" w:hAnsi="Arial" w:cs="Arial"/>
            <w:color w:val="A55858"/>
            <w:sz w:val="15"/>
            <w:lang w:eastAsia="it-IT"/>
          </w:rPr>
          <w:t>Alto Tavoliere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 in provincia di </w:t>
      </w:r>
      <w:hyperlink r:id="rId9" w:tooltip="Foggia" w:history="1">
        <w:r w:rsidRPr="00E2178A">
          <w:rPr>
            <w:rFonts w:ascii="Arial" w:eastAsia="Times New Roman" w:hAnsi="Arial" w:cs="Arial"/>
            <w:color w:val="0B0080"/>
            <w:sz w:val="15"/>
            <w:lang w:eastAsia="it-IT"/>
          </w:rPr>
          <w:t>Foggia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 vi si venera un'antica ed artistica immagine della Madonna con il Bambino con il volto nero ed è di stile Bizantino. L'Icona della chiesa della Madonna del Rito (tra le più belle e meglio conservate opere bizantine reperibili in </w:t>
      </w:r>
      <w:hyperlink r:id="rId10" w:tooltip="Puglia" w:history="1">
        <w:r w:rsidRPr="00E2178A">
          <w:rPr>
            <w:rFonts w:ascii="Arial" w:eastAsia="Times New Roman" w:hAnsi="Arial" w:cs="Arial"/>
            <w:color w:val="0B0080"/>
            <w:sz w:val="15"/>
            <w:lang w:eastAsia="it-IT"/>
          </w:rPr>
          <w:t>Puglia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) è una tavola raffigurante la </w:t>
      </w:r>
      <w:hyperlink r:id="rId11" w:tooltip="Vergine Odigitria" w:history="1">
        <w:r w:rsidRPr="00E2178A">
          <w:rPr>
            <w:rFonts w:ascii="Arial" w:eastAsia="Times New Roman" w:hAnsi="Arial" w:cs="Arial"/>
            <w:color w:val="0B0080"/>
            <w:sz w:val="15"/>
            <w:lang w:eastAsia="it-IT"/>
          </w:rPr>
          <w:t>Vergine Odigitria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 venerata dagli </w:t>
      </w:r>
      <w:hyperlink r:id="rId12" w:tooltip="Arcangeli" w:history="1">
        <w:r w:rsidRPr="00E2178A">
          <w:rPr>
            <w:rFonts w:ascii="Arial" w:eastAsia="Times New Roman" w:hAnsi="Arial" w:cs="Arial"/>
            <w:color w:val="0B0080"/>
            <w:sz w:val="15"/>
            <w:lang w:eastAsia="it-IT"/>
          </w:rPr>
          <w:t>Arcangeli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 </w:t>
      </w:r>
      <w:hyperlink r:id="rId13" w:tooltip="Gabriele" w:history="1">
        <w:r w:rsidRPr="00E2178A">
          <w:rPr>
            <w:rFonts w:ascii="Arial" w:eastAsia="Times New Roman" w:hAnsi="Arial" w:cs="Arial"/>
            <w:color w:val="0B0080"/>
            <w:sz w:val="15"/>
            <w:lang w:eastAsia="it-IT"/>
          </w:rPr>
          <w:t>Gabriele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 e </w:t>
      </w:r>
      <w:hyperlink r:id="rId14" w:tooltip="Michele" w:history="1">
        <w:r w:rsidRPr="00E2178A">
          <w:rPr>
            <w:rFonts w:ascii="Arial" w:eastAsia="Times New Roman" w:hAnsi="Arial" w:cs="Arial"/>
            <w:color w:val="0B0080"/>
            <w:sz w:val="15"/>
            <w:lang w:eastAsia="it-IT"/>
          </w:rPr>
          <w:t>Michele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, l'opera si colloca nell'alveo della pittura postbizantina d'intonazione cretese e interpreta il tipo della </w:t>
      </w:r>
      <w:hyperlink r:id="rId15" w:tooltip="Vergine Odigitria" w:history="1">
        <w:r w:rsidRPr="00E2178A">
          <w:rPr>
            <w:rFonts w:ascii="Arial" w:eastAsia="Times New Roman" w:hAnsi="Arial" w:cs="Arial"/>
            <w:color w:val="0B0080"/>
            <w:sz w:val="15"/>
            <w:lang w:eastAsia="it-IT"/>
          </w:rPr>
          <w:t>Vergine Odigitria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 (colei che mostra il cammino), la datazione dell'opera oscilla tra la fine del </w:t>
      </w:r>
      <w:proofErr w:type="spellStart"/>
      <w:r w:rsidRPr="00E2178A">
        <w:rPr>
          <w:rFonts w:ascii="Times New Roman" w:eastAsia="Times New Roman" w:hAnsi="Times New Roman" w:cs="Times New Roman"/>
          <w:sz w:val="15"/>
          <w:szCs w:val="15"/>
          <w:lang w:eastAsia="it-IT"/>
        </w:rPr>
        <w:fldChar w:fldCharType="begin"/>
      </w:r>
      <w:r w:rsidRPr="00E2178A">
        <w:rPr>
          <w:rFonts w:ascii="Times New Roman" w:eastAsia="Times New Roman" w:hAnsi="Times New Roman" w:cs="Times New Roman"/>
          <w:sz w:val="15"/>
          <w:szCs w:val="15"/>
          <w:lang w:eastAsia="it-IT"/>
        </w:rPr>
        <w:instrText xml:space="preserve"> HYPERLINK "https://it.wikipedia.org/wiki/XV" \o "XV" </w:instrText>
      </w:r>
      <w:r w:rsidRPr="00E2178A">
        <w:rPr>
          <w:rFonts w:ascii="Times New Roman" w:eastAsia="Times New Roman" w:hAnsi="Times New Roman" w:cs="Times New Roman"/>
          <w:sz w:val="15"/>
          <w:szCs w:val="15"/>
          <w:lang w:eastAsia="it-IT"/>
        </w:rPr>
        <w:fldChar w:fldCharType="separate"/>
      </w:r>
      <w:r w:rsidRPr="00E2178A">
        <w:rPr>
          <w:rFonts w:ascii="Arial" w:eastAsia="Times New Roman" w:hAnsi="Arial" w:cs="Arial"/>
          <w:color w:val="0B0080"/>
          <w:sz w:val="15"/>
          <w:lang w:eastAsia="it-IT"/>
        </w:rPr>
        <w:t>XV</w:t>
      </w:r>
      <w:proofErr w:type="spellEnd"/>
      <w:r w:rsidRPr="00E2178A">
        <w:rPr>
          <w:rFonts w:ascii="Times New Roman" w:eastAsia="Times New Roman" w:hAnsi="Times New Roman" w:cs="Times New Roman"/>
          <w:sz w:val="15"/>
          <w:szCs w:val="15"/>
          <w:lang w:eastAsia="it-IT"/>
        </w:rPr>
        <w:fldChar w:fldCharType="end"/>
      </w:r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 e la prima parte del </w:t>
      </w:r>
      <w:hyperlink r:id="rId16" w:tooltip="XVI" w:history="1">
        <w:r w:rsidRPr="00E2178A">
          <w:rPr>
            <w:rFonts w:ascii="Arial" w:eastAsia="Times New Roman" w:hAnsi="Arial" w:cs="Arial"/>
            <w:color w:val="0B0080"/>
            <w:sz w:val="15"/>
            <w:lang w:eastAsia="it-IT"/>
          </w:rPr>
          <w:t>XVI</w:t>
        </w:r>
      </w:hyperlink>
      <w:r w:rsidRPr="00E2178A">
        <w:rPr>
          <w:rFonts w:ascii="Arial" w:eastAsia="Times New Roman" w:hAnsi="Arial" w:cs="Arial"/>
          <w:color w:val="252525"/>
          <w:sz w:val="15"/>
          <w:szCs w:val="15"/>
          <w:lang w:eastAsia="it-IT"/>
        </w:rPr>
        <w:t> secolo."</w:t>
      </w: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hyperlink r:id="rId17" w:history="1">
        <w:r w:rsidRPr="00E21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https://it.wikipedia.org/wiki/Odigitria</w:t>
        </w:r>
      </w:hyperlink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D0B78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della Madonna del Loreto non si parla proprio. L'idea che mi sono fatta è che le due Madonne sono state accomunate nella cultura popolare dall'essere ambedue nere e di scuola bizantina sebbene una proveniente dalla Palestina e l'altra da Costantinopoli: diverse ma uguali. </w:t>
      </w: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Loreto o Rito, quindi? Forse a noi effettivamente appartiene di più la tradizione della Madonna del Rito di Costantinopoli, di una Chiesa voluta dagli albanesi, che la cultura popolare torremaggiorese accomunava in qualche modo agli zingari, </w:t>
      </w:r>
      <w:r w:rsidR="0033115E"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</w:t>
      </w: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venivano dall'est, visto che la Chiesa del Rito è accompagnata da una Porta degli Zingari a pochi passi da essa.</w:t>
      </w: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Riflessioni ad alta voce, ipotesi. spero di esserti stata utile.</w:t>
      </w:r>
    </w:p>
    <w:p w:rsidR="00E2178A" w:rsidRP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178A" w:rsidRDefault="00E2178A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178A">
        <w:rPr>
          <w:rFonts w:ascii="Times New Roman" w:eastAsia="Times New Roman" w:hAnsi="Times New Roman" w:cs="Times New Roman"/>
          <w:sz w:val="24"/>
          <w:szCs w:val="24"/>
          <w:lang w:eastAsia="it-IT"/>
        </w:rPr>
        <w:t>ciao, Mariella</w:t>
      </w:r>
      <w:r w:rsidR="003311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Innella</w:t>
      </w:r>
    </w:p>
    <w:p w:rsidR="0033115E" w:rsidRDefault="0033115E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D0B78" w:rsidRDefault="004D0B78" w:rsidP="004D0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D0B78" w:rsidRPr="004D0B78" w:rsidRDefault="004D0B78" w:rsidP="004D0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_______________________________________________________________________________________</w:t>
      </w:r>
    </w:p>
    <w:p w:rsidR="004D0B78" w:rsidRPr="0033115E" w:rsidRDefault="004D0B78" w:rsidP="004D0B78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115E" w:rsidRPr="00E2178A" w:rsidRDefault="0033115E" w:rsidP="00E2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178A" w:rsidRDefault="00E2178A" w:rsidP="00E2178A">
      <w:pPr>
        <w:jc w:val="both"/>
        <w:rPr>
          <w:b/>
          <w:sz w:val="24"/>
          <w:szCs w:val="24"/>
        </w:rPr>
      </w:pPr>
    </w:p>
    <w:p w:rsidR="00E2178A" w:rsidRDefault="00E2178A" w:rsidP="00E2178A">
      <w:pPr>
        <w:jc w:val="both"/>
        <w:rPr>
          <w:b/>
          <w:sz w:val="24"/>
          <w:szCs w:val="24"/>
        </w:rPr>
      </w:pPr>
    </w:p>
    <w:p w:rsidR="00E2178A" w:rsidRPr="00E2178A" w:rsidRDefault="00E2178A" w:rsidP="00E2178A">
      <w:pPr>
        <w:jc w:val="both"/>
        <w:rPr>
          <w:b/>
          <w:sz w:val="24"/>
          <w:szCs w:val="24"/>
        </w:rPr>
      </w:pPr>
    </w:p>
    <w:sectPr w:rsidR="00E2178A" w:rsidRPr="00E2178A" w:rsidSect="00E21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D01"/>
    <w:multiLevelType w:val="hybridMultilevel"/>
    <w:tmpl w:val="F9A6EE6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2178A"/>
    <w:rsid w:val="000A1C35"/>
    <w:rsid w:val="0033115E"/>
    <w:rsid w:val="004D0B78"/>
    <w:rsid w:val="00D31BDC"/>
    <w:rsid w:val="00DA566C"/>
    <w:rsid w:val="00E2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7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7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217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/index.php?title=Alto_Tavoliere&amp;action=edit&amp;redlink=1" TargetMode="External"/><Relationship Id="rId13" Type="http://schemas.openxmlformats.org/officeDocument/2006/relationships/hyperlink" Target="https://it.wikipedia.org/wiki/Gabriel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Torremaggiore" TargetMode="External"/><Relationship Id="rId12" Type="http://schemas.openxmlformats.org/officeDocument/2006/relationships/hyperlink" Target="https://it.wikipedia.org/wiki/Arcangeli" TargetMode="External"/><Relationship Id="rId17" Type="http://schemas.openxmlformats.org/officeDocument/2006/relationships/hyperlink" Target="https://it.wikipedia.org/wiki/Odigitr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XV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jainpuglia.it/chiese_extra_moenia/32_loreto.htm" TargetMode="External"/><Relationship Id="rId11" Type="http://schemas.openxmlformats.org/officeDocument/2006/relationships/hyperlink" Target="https://it.wikipedia.org/wiki/Vergine_Odigitri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Vergine_Odigitria" TargetMode="External"/><Relationship Id="rId10" Type="http://schemas.openxmlformats.org/officeDocument/2006/relationships/hyperlink" Target="https://it.wikipedia.org/wiki/Pugl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Foggia" TargetMode="External"/><Relationship Id="rId14" Type="http://schemas.openxmlformats.org/officeDocument/2006/relationships/hyperlink" Target="https://it.wikipedia.org/wiki/Miche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</dc:creator>
  <cp:lastModifiedBy>Fulvio</cp:lastModifiedBy>
  <cp:revision>1</cp:revision>
  <dcterms:created xsi:type="dcterms:W3CDTF">2016-05-19T08:47:00Z</dcterms:created>
  <dcterms:modified xsi:type="dcterms:W3CDTF">2016-05-19T09:13:00Z</dcterms:modified>
</cp:coreProperties>
</file>